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76"/>
        <w:rPr/>
      </w:pPr>
      <w:r>
        <w:rPr>
          <w:sz w:val="20"/>
          <w:szCs w:val="20"/>
          <w:u w:val="none"/>
        </w:rPr>
        <w:t>МИНИСТЕРСТВО ПРОСВЕЩЕНИЯ РОССИЙСКОЙ ФЕДЕРАЦИИ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cs="Times New Roman" w:ascii="Times New Roman" w:hAnsi="Times New Roman"/>
          <w:sz w:val="20"/>
          <w:szCs w:val="20"/>
          <w:u w:val="single"/>
        </w:rPr>
      </w:r>
    </w:p>
    <w:tbl>
      <w:tblPr>
        <w:tblW w:w="10005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10005"/>
      </w:tblGrid>
      <w:tr>
        <w:trPr>
          <w:trHeight w:val="814" w:hRule="atLeast"/>
        </w:trPr>
        <w:tc>
          <w:tcPr>
            <w:tcW w:w="10005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/>
              <w:drawing>
                <wp:inline distT="0" distB="0" distL="0" distR="0">
                  <wp:extent cx="770890" cy="791845"/>
                  <wp:effectExtent l="0" t="0" r="0" b="0"/>
                  <wp:docPr id="1" name="Рисунок 1" descr="ZnakMi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ZnakMi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90" cy="79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Web"/>
        <w:spacing w:lineRule="auto" w:line="276"/>
        <w:rPr>
          <w:b/>
          <w:b/>
          <w:sz w:val="20"/>
          <w:szCs w:val="20"/>
          <w:u w:val="none"/>
          <w:lang w:eastAsia="ru-RU"/>
        </w:rPr>
      </w:pPr>
      <w:r>
        <w:rPr>
          <w:b/>
          <w:sz w:val="20"/>
          <w:szCs w:val="20"/>
          <w:u w:val="none"/>
          <w:lang w:eastAsia="ru-RU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Web"/>
        <w:spacing w:lineRule="auto" w:line="276"/>
        <w:rPr>
          <w:b/>
          <w:b/>
          <w:sz w:val="20"/>
          <w:szCs w:val="20"/>
          <w:u w:val="none"/>
          <w:lang w:eastAsia="ru-RU"/>
        </w:rPr>
      </w:pPr>
      <w:r>
        <w:rPr>
          <w:b/>
          <w:sz w:val="20"/>
          <w:szCs w:val="20"/>
          <w:u w:val="none"/>
          <w:lang w:eastAsia="ru-RU"/>
        </w:rPr>
        <w:t>«Московский педагогический государственный университет»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  <w:lang w:eastAsia="zh-CN"/>
        </w:rPr>
      </w:pPr>
      <w:r>
        <w:rPr>
          <w:rFonts w:cs="Times New Roman" w:ascii="Times New Roman" w:hAnsi="Times New Roman"/>
          <w:b/>
          <w:sz w:val="20"/>
          <w:szCs w:val="20"/>
        </w:rPr>
        <w:t>(МПГУ)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Анапский филиал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федерального государственного  бюджетного образовательного учреждения высшего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«М</w:t>
      </w:r>
      <w:r>
        <w:rPr>
          <w:rFonts w:cs="Times New Roman" w:ascii="Times New Roman" w:hAnsi="Times New Roman"/>
          <w:b/>
          <w:sz w:val="20"/>
          <w:szCs w:val="20"/>
        </w:rPr>
        <w:t>осковский педагогический государственный университет</w:t>
      </w:r>
      <w:r>
        <w:rPr>
          <w:rFonts w:cs="Times New Roman" w:ascii="Times New Roman" w:hAnsi="Times New Roman"/>
          <w:b/>
          <w:bCs/>
          <w:sz w:val="20"/>
          <w:szCs w:val="20"/>
        </w:rPr>
        <w:t>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(Анапский филиал МПГУ)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Адрес: 353410, г. Анапа, ул. Астраханская, 88, тел. (86133)43975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ИНФОРМАЦИОННОЕ ПИСЬМО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Уважаемые коллеги!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Приглашаем Вас принять участие </w:t>
      </w:r>
    </w:p>
    <w:p>
      <w:pPr>
        <w:pStyle w:val="Normal"/>
        <w:widowControl w:val="false"/>
        <w:spacing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в </w:t>
      </w:r>
      <w:r>
        <w:rPr>
          <w:rFonts w:cs="Times New Roman" w:ascii="Times New Roman" w:hAnsi="Times New Roman"/>
          <w:sz w:val="24"/>
          <w:szCs w:val="24"/>
          <w:lang w:val="en-US"/>
        </w:rPr>
        <w:t>V</w:t>
      </w:r>
      <w:r>
        <w:rPr>
          <w:rFonts w:cs="Times New Roman" w:ascii="Times New Roman" w:hAnsi="Times New Roman"/>
          <w:sz w:val="24"/>
          <w:szCs w:val="24"/>
        </w:rPr>
        <w:t xml:space="preserve"> Всероссийской с международным участием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дистанционной лингвометодической  конференции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«МОЛОДЫЕ ГОЛОСА»,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которая состоится </w:t>
      </w:r>
    </w:p>
    <w:p>
      <w:pPr>
        <w:pStyle w:val="Normal"/>
        <w:widowControl w:val="false"/>
        <w:spacing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26 ноября 2020года 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Анапском филиале ФГБОУ ВО 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«Московский педагогический государственный университет»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1. Организатор конференции -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</w:t>
      </w:r>
      <w:r>
        <w:rPr>
          <w:rFonts w:cs="Times New Roman" w:ascii="Times New Roman" w:hAnsi="Times New Roman"/>
          <w:sz w:val="24"/>
          <w:szCs w:val="24"/>
        </w:rPr>
        <w:t>афедра русской и зарубежной филологии Анапского филиала ФГБОУ ВО «Московский педагогический государственный университет».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before="0" w:after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2. Место проведения конференции — платформа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Zoom.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 Направления работы конференции: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1.Актуальные вопросы современной русской и зарубежной филологии.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Проблемы и перспективы теории и практики преподавания русского и иностранного языков в средней школе.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4.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По итогам конференции будет издан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сборник научных трудов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участников конференции, зарегистрированный в РИНЦ.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5. Участники конференции - </w:t>
      </w:r>
      <w:r>
        <w:rPr>
          <w:rFonts w:cs="Times New Roman" w:ascii="Times New Roman" w:hAnsi="Times New Roman"/>
          <w:sz w:val="24"/>
          <w:szCs w:val="24"/>
        </w:rPr>
        <w:t xml:space="preserve">студенты, аспиранты и преподаватели. </w:t>
      </w:r>
      <w:r>
        <w:rPr>
          <w:rFonts w:cs="Times New Roman" w:ascii="Times New Roman" w:hAnsi="Times New Roman"/>
          <w:spacing w:val="-4"/>
          <w:sz w:val="24"/>
          <w:szCs w:val="24"/>
        </w:rPr>
        <w:t xml:space="preserve">Конференция предусматривает как очное, так и заочное участие. </w:t>
      </w:r>
      <w:r>
        <w:rPr>
          <w:rFonts w:cs="Times New Roman" w:ascii="Times New Roman" w:hAnsi="Times New Roman"/>
          <w:color w:val="000000"/>
          <w:sz w:val="24"/>
          <w:szCs w:val="24"/>
        </w:rPr>
        <w:t>Все участники конференции получат сертификат участника конференции.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 Порядок работы конференции:</w:t>
      </w:r>
    </w:p>
    <w:p>
      <w:pPr>
        <w:pStyle w:val="Normal"/>
        <w:widowControl w:val="false"/>
        <w:spacing w:before="0" w:after="0"/>
        <w:rPr/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  <w:lang w:val="en-US"/>
        </w:rPr>
        <w:t>6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 xml:space="preserve">  ноября  2019 г. 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>14.00</w:t>
      </w:r>
      <w:r>
        <w:rPr>
          <w:rFonts w:cs="Times New Roman" w:ascii="Times New Roman" w:hAnsi="Times New Roman"/>
          <w:sz w:val="24"/>
          <w:szCs w:val="24"/>
        </w:rPr>
        <w:t xml:space="preserve"> – </w:t>
      </w:r>
      <w:r>
        <w:rPr>
          <w:rFonts w:cs="Times New Roman" w:ascii="Times New Roman" w:hAnsi="Times New Roman"/>
          <w:sz w:val="24"/>
          <w:szCs w:val="24"/>
          <w:lang w:val="en-US"/>
        </w:rPr>
        <w:t>15.30</w:t>
      </w:r>
      <w:r>
        <w:rPr>
          <w:rFonts w:cs="Times New Roman" w:ascii="Times New Roman" w:hAnsi="Times New Roman"/>
          <w:sz w:val="24"/>
          <w:szCs w:val="24"/>
        </w:rPr>
        <w:t xml:space="preserve">. Работа секций </w:t>
      </w:r>
      <w:r>
        <w:rPr>
          <w:rFonts w:cs="Times New Roman" w:ascii="Times New Roman" w:hAnsi="Times New Roman"/>
          <w:sz w:val="24"/>
          <w:szCs w:val="24"/>
          <w:lang w:val="ru-RU"/>
        </w:rPr>
        <w:t>в онлайн формате</w:t>
      </w:r>
      <w:r>
        <w:rPr>
          <w:rFonts w:cs="Times New Roman" w:ascii="Times New Roman" w:hAnsi="Times New Roman"/>
          <w:sz w:val="24"/>
          <w:szCs w:val="24"/>
        </w:rPr>
        <w:t>. Доклады участников конференции.</w:t>
      </w:r>
    </w:p>
    <w:p>
      <w:pPr>
        <w:pStyle w:val="Normal"/>
        <w:widowControl w:val="false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16.00 -17.30. Работа секций </w:t>
      </w:r>
      <w:r>
        <w:rPr>
          <w:rFonts w:cs="Times New Roman" w:ascii="Times New Roman" w:hAnsi="Times New Roman"/>
          <w:sz w:val="24"/>
          <w:szCs w:val="24"/>
          <w:lang w:val="ru-RU"/>
        </w:rPr>
        <w:t>в онлайн формате</w:t>
      </w:r>
      <w:r>
        <w:rPr>
          <w:rFonts w:cs="Times New Roman" w:ascii="Times New Roman" w:hAnsi="Times New Roman"/>
          <w:sz w:val="24"/>
          <w:szCs w:val="24"/>
          <w:lang w:val="en-US"/>
        </w:rPr>
        <w:t>. Доклады участников конференции.</w:t>
      </w:r>
    </w:p>
    <w:p>
      <w:pPr>
        <w:pStyle w:val="Normal"/>
        <w:widowControl w:val="false"/>
        <w:spacing w:before="0" w:after="0"/>
        <w:rPr/>
      </w:pPr>
      <w:r>
        <w:rPr>
          <w:rFonts w:cs="Times New Roman" w:ascii="Times New Roman" w:hAnsi="Times New Roman"/>
          <w:sz w:val="24"/>
          <w:szCs w:val="24"/>
        </w:rPr>
        <w:t>17.30-18.00. Подведение итогов работы конференции.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5. Для участия в конференции просим Вас:</w:t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1) Не позднее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ноября 2020 г. </w:t>
      </w:r>
      <w:r>
        <w:rPr>
          <w:rFonts w:cs="Times New Roman" w:ascii="Times New Roman" w:hAnsi="Times New Roman"/>
          <w:sz w:val="24"/>
          <w:szCs w:val="24"/>
        </w:rPr>
        <w:t>выслать по электронной почте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bookmarkStart w:id="0" w:name="__DdeLink__295_1084742480"/>
      <w:r>
        <w:rPr>
          <w:rFonts w:cs="Times New Roman" w:ascii="Times New Roman" w:hAnsi="Times New Roman"/>
          <w:b/>
          <w:sz w:val="24"/>
          <w:szCs w:val="24"/>
          <w:lang w:val="ru-RU"/>
        </w:rPr>
        <w:t>t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saritsina2000@gmail.com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   </w:t>
      </w:r>
      <w:bookmarkEnd w:id="0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заявку на участие в конференции с пометкой </w:t>
      </w:r>
      <w:r>
        <w:rPr>
          <w:rFonts w:cs="Times New Roman" w:ascii="Times New Roman" w:hAnsi="Times New Roman"/>
          <w:i/>
          <w:sz w:val="24"/>
          <w:szCs w:val="24"/>
        </w:rPr>
        <w:t>«Молодые голоса»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792"/>
        <w:gridCol w:w="5778"/>
      </w:tblGrid>
      <w:tr>
        <w:trPr>
          <w:trHeight w:val="273" w:hRule="atLeast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Ф.И.О. (полностью)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Должность (курс обучения)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Ученая степень, звание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ФИО научного руководителя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доклада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 участия (заочная/очная)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Необходимость мультимедийной техники (да/нет)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Контактная информация (телефон,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e-mail)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2)Оплатить участие в конференции (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en-US"/>
        </w:rPr>
        <w:t>800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рублей за один научный доклад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). </w:t>
      </w:r>
      <w:r>
        <w:rPr>
          <w:rFonts w:cs="Times New Roman" w:ascii="Times New Roman" w:hAnsi="Times New Roman"/>
          <w:i/>
          <w:spacing w:val="-4"/>
          <w:sz w:val="24"/>
          <w:szCs w:val="24"/>
        </w:rPr>
        <w:t>Оплата оргвзноса</w:t>
      </w:r>
      <w:r>
        <w:rPr>
          <w:rFonts w:cs="Times New Roman" w:ascii="Times New Roman" w:hAnsi="Times New Roman"/>
          <w:i/>
          <w:color w:val="000000"/>
          <w:sz w:val="24"/>
          <w:szCs w:val="24"/>
        </w:rPr>
        <w:t xml:space="preserve"> предполагает выдачу одного бесплатного экземпляра сборника материалов конференции. </w:t>
      </w:r>
      <w:r>
        <w:rPr>
          <w:rFonts w:cs="Times New Roman" w:ascii="Times New Roman" w:hAnsi="Times New Roman"/>
          <w:spacing w:val="-4"/>
          <w:sz w:val="24"/>
          <w:szCs w:val="24"/>
        </w:rPr>
        <w:t xml:space="preserve">Оплата принимается в кассе бухгалтерии Анапского филиала МПГУ. </w:t>
      </w:r>
      <w:r>
        <w:rPr>
          <w:rFonts w:cs="Times New Roman" w:ascii="Times New Roman" w:hAnsi="Times New Roman"/>
          <w:i/>
          <w:spacing w:val="-4"/>
          <w:sz w:val="24"/>
          <w:szCs w:val="24"/>
        </w:rPr>
        <w:t xml:space="preserve">Для заключения договора необходимо иметь при себе паспорт. </w:t>
      </w:r>
      <w:r>
        <w:rPr>
          <w:rFonts w:cs="Times New Roman" w:ascii="Times New Roman" w:hAnsi="Times New Roman"/>
          <w:i w:val="false"/>
          <w:iCs w:val="false"/>
          <w:spacing w:val="-4"/>
          <w:sz w:val="24"/>
          <w:szCs w:val="24"/>
        </w:rPr>
        <w:t xml:space="preserve">Возможна оплата безналичным расчетом путем перевода денег  по банковским реквизитам (договор и квитанция для оплаты прилагаются к информационному письму). </w:t>
      </w:r>
    </w:p>
    <w:p>
      <w:pPr>
        <w:pStyle w:val="Normal"/>
        <w:shd w:val="clear" w:color="auto" w:fill="FFFFFF"/>
        <w:spacing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3) Не позднее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25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ноября 2020  г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направить на </w:t>
      </w:r>
      <w:r>
        <w:rPr>
          <w:rFonts w:cs="Times New Roman" w:ascii="Times New Roman" w:hAnsi="Times New Roman"/>
          <w:sz w:val="24"/>
          <w:szCs w:val="24"/>
        </w:rPr>
        <w:t xml:space="preserve">электронный адрес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t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saritsina2000@gmail.com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тезисы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научной статьи для публикации в сборнике объёмом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2,5 страницы</w:t>
      </w:r>
      <w:r>
        <w:rPr>
          <w:rFonts w:cs="Times New Roman" w:ascii="Times New Roman" w:hAnsi="Times New Roman"/>
          <w:color w:val="000000"/>
          <w:sz w:val="24"/>
          <w:szCs w:val="24"/>
        </w:rPr>
        <w:t>, включая список литературы.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Порядок предоставления материала на публикацию</w:t>
      </w:r>
    </w:p>
    <w:p>
      <w:pPr>
        <w:pStyle w:val="ListParagraph"/>
        <w:widowControl w:val="false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Все поступившие в редакцию статьи проходят проверку в системе «Антиплагиат», представленные материалы должны иметь оригинальность текста не менее 75 %.</w:t>
      </w:r>
    </w:p>
    <w:p>
      <w:pPr>
        <w:pStyle w:val="ListParagraph"/>
        <w:widowControl w:val="false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Авторам необходимо предоставить скриншот результата проверки в системе «Антиплагиат».</w:t>
      </w:r>
    </w:p>
    <w:p>
      <w:pPr>
        <w:pStyle w:val="ListParagraph"/>
        <w:widowControl w:val="false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Представленные статьи могут быть возвращены автору на доработку из-за неприемлемого объема или несоблюдения правил оформления. 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Структура статьи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</w:t>
        <w:tab/>
        <w:t>Индекс универсальной десятичной классификации (УДК).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</w:t>
        <w:tab/>
        <w:t>Название статьи.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</w:t>
        <w:tab/>
        <w:t>Инициалы и фамилия автора (авторов).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</w:t>
        <w:tab/>
        <w:t>Аннотация на русском языке.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</w:t>
        <w:tab/>
        <w:t>Ключевые слова.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</w:t>
        <w:tab/>
        <w:t>Текст статьи с таблицами, рисунками, формулами.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</w:t>
        <w:tab/>
        <w:t>Список литературы.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8.</w:t>
        <w:tab/>
        <w:t>Сведения об авторе (авторах): фамилия, имя, отчество; ученая степень, ученое звание; должность, место работы; адрес электронной почты (e-mail).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Требования к оформлению статей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</w:t>
        <w:tab/>
        <w:t xml:space="preserve">Текст набирается без нумерации страниц, с учетом абзацев и особых указаний в требованиях к оформлению статей.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</w:t>
        <w:tab/>
        <w:t xml:space="preserve">Объем статьи, включая аннотацию, ключевые слова и список литературы – 2,5 страницы (Параметры текстового редактора: шрифт TimesNewRoman, размер – 12; межстрочный интервал – 1,0; выравнивание по ширине; абзацный отступ 1 см; ориентация листа – книжная).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</w:t>
        <w:tab/>
        <w:t>Заголовок статьи  - не более 3 строк, прописными, жирными буквами, выравнивание по центру строки.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</w:t>
        <w:tab/>
        <w:t>Инициалы и фамилия автора (авторов) -  жирными буквами, выравнивание по центру строки.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</w:t>
        <w:tab/>
        <w:t>Статья должна быть снабжена аннотацией на русском языке. Аннотация к статье должна быть: информативной (не содержать общих слов); оригинальной; содержательной (отражать основное содержание статьи и результаты исследований); структурированной (следовать логике описания результатов в статье); компактной (укладываться в объем от 100 до 150 слов). Аннотация должна включать следующие аспекты содержания статьи: предмет, цель работы; метод или методологию проведения работы; результаты работы; область применения результатов; выводы.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</w:t>
        <w:tab/>
        <w:t>Статья должна быть снабжена ключевыми словами на русском языке (рекомендуемое количество ключевых слов – 5–10).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</w:t>
        <w:tab/>
        <w:t xml:space="preserve">Рисунки и подписи к ним располагаются непосредственно в тексте.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8.</w:t>
        <w:tab/>
        <w:t xml:space="preserve">Таблицы нумеруются, если их число более одной.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9.</w:t>
        <w:tab/>
        <w:t>Ссылки на цитированную литературу приводятся в квадратных скобках.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10.</w:t>
        <w:tab/>
        <w:t>Список литературы располагается после текста статьи, нумеруется в алфавитном порядке, предваряется словом «Литература». Под одним номером допустимо указывать только один источник.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11.</w:t>
        <w:tab/>
        <w:t>На последней странице статьи указываются сведения об авторах: фамилии, имена и отчества авторов полностью; ученая степень, звание, должность, место работы, адрес электронной почты всех авторов.</w:t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Примеры описания цитируемых публикаций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Описание книги: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Румянцев М. К. Фонетика и фонология китайского языка. М.: АСТ, 2007. 302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Березин Ф. Б., Мирошников М. П., Соколова Е. Д. Методика многостороннего исследования личности (структура, основы интерпретации, некоторые области применения). Третье изд. (исп. и доп.). М.: Консультант плюс – новые технологии, 2011. 320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Тома, части книг, книги из собраний и т. п.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Выготский Л. С. Мышление и речь // Собрание сочинений. В 6 т. М.: Педагогика, 1982. Т. 2. С. 5 – 295.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Описание статьи из журнала: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Евдокимова Г. А., Мозгова Н. Г., Михайлова И. В. Способы биоремидиации почв Кольского севера при загрязнении дизельным топливом // Агрохимия. 2009. № 6. С. 61 – 66.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Статья из журнала с томом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Белогай К. Н. Эмпирическое исследование телесности женщины в связи с реализацией репродуктивной функции // Вестник Кемеровского государственного университета. 2014. Вып. 1(57). Т. 1. С. 108 – 116.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Описание статьи из электронного журнала: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Сартикова Е. В. Деятельность местных комитетов профсоюзов по заключению коллективных договоров в 1963 – 1973 гг. (на материалах Калмыкии) // Научный журнал КубГАУ. 2015. № 113(09). Режим доступа: http://ej.kubagro.ru/2015/09/pdf/37.pdf (дата обращения: 22.05.2012)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Статья или глава из коллективной монографии: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Водопьянова Н. Е., Старченкова Е. С. Современные подходы к превенции синдрома выгорания // Современные проблемы исследования синдрома выгорания у специалистов коммуникативных профессий: коллективная монография / под ред. В. В. Лукьянова, Н. Е. Водопьяновой, В. Е. Орла, С. А. Подсадного, Л. Н. Юрьевой, С. А. Игумнова. Курск: Курск. гос. ун-т, 2008. С. 235 – 249.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Описание материалов конференций: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Санникова А. А. Чураевка как идеал русской общины (культурно-просветительская деятельность Г. Д. Гребенщикова) // Алтайский текст в русской культуре: материалы третьей региональной научно-практической конференции. Барнаул, 2006. Вып. 3. С. 18 – 28.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color w:val="000000"/>
          <w:sz w:val="24"/>
          <w:szCs w:val="24"/>
        </w:rPr>
        <w:t>Описание Интернет-ресурса: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Обзор методов изучения китайского языка и запоминания иероглифов. Режим доступа: http://magazeta.com/2013/01/methods-review/ (дата обращения: 01.04.2015).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Obzormetodovizucheniiakitaiskogoiazyka i zapominaniiaieroglifov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Описание диссертации: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Ковалева Т.В. Производные с _атор(-тор) в деривационной системе русского языка (когнитивный аспект): дис. ... канд. филол. наук; Кемеровский гос. ун-т. Кемерово, 2004. 140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Описание автореферата диссертации: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Каминская Т. Л. Образ адресата в текстах массовой коммуникации: семантико-прагматическое исследование: автореф. дис. ... д-ра филол. наук. Спб., 2009. 46 c.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ОБРАЗЕЦ ОФОРМЛЕНИЯ СТАТЬИ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УДК 81-11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ПРОПОЗИЦИОНАЛЬНО-ФРЕЙМОВЫЙ ПОДХОД В ОПИСАНИИ ГНЕЗД ОДНОКОРЕННЫХ СЛОВ РУССКОГО ЯЗЫКА КАК РЕПРЕЗЕНТАЦИЯ ДИСКУРСИВНОЙ МЕНТАЛЬНОЙ ДЕЯТЕЛЬНОСТИ ЧЕЛОВЕКА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Т.В. Ковалева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Данная статья посвящена рассмотрению гнезда однокоренных слов русского языка как динамического феномена. В качестве основных единиц репрезентации гнездового единства в работе приняты фрейм и пропозиция.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Большинство пропозиций, в которых функционируют производные с –атор, обладают высокой степенью типизированности. Под воздействием тенденций русской языковой системы, в результате ассимиляции, указанная типизированность пропозиций подвергается изменениям.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Пропозиционально-фреймовый подход в описании гнезда однокоренных слов позволяет эксплицировать знания носителей языка об окружающем мире, репрезентировать гносеологическую основу дискурсивной ментальной деятельности человека.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Исследование выполнено на материале производных с заимствованными формантами –атор/-тор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Ключевые слова: гнездо однокоренных слов русского языка, фрейм, пропозиция, производное, заимствованный формант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 [1, с. 139].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Текст ТекстТекстТекстТекстТекстТекстТекстТекст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Литература: 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</w:t>
        <w:tab/>
        <w:t>Араева Л.А. Словообразовательный тип как семантическая микросистема: Суффиксальные субстантивы: (На материале русских говоров) Кемерово, 1994. 223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</w:t>
        <w:tab/>
        <w:t>Евсеева И.В. Когнитивное моделирование словообразовательной системы русского языка (на материале комплексных единиц). Автореферат дис. … докт. филол. наук: 10.02.01; Кемерово, 2011. 49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</w:t>
        <w:tab/>
        <w:t>Осадчий М.А. Однокоренная лексика русских народных говоров: Фреймовая структура гнезда. М.: Либроком. 2009. 304 с.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Информация об авторе: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Ковалева Татьяна Владимировна – кандидат филологических наук, доцент кафедры русской и зарубежной филологии Анапского филиала Московского педагогического государственного университета, ktv2007@mail.ru.</w:t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 Контактная информация оргкомитета:</w:t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Мирзоева Елена Юрьевна – зав. кафедрой русской и зарубежной филологии Ан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>апского филиала МПГУ.</w:t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Тел</w:t>
      </w:r>
      <w:r>
        <w:rPr>
          <w:rFonts w:cs="Times New Roman" w:ascii="Times New Roman" w:hAnsi="Times New Roman"/>
          <w:sz w:val="24"/>
          <w:szCs w:val="24"/>
          <w:lang w:val="fr-FR"/>
        </w:rPr>
        <w:t>. 8(</w:t>
      </w:r>
      <w:r>
        <w:rPr>
          <w:rFonts w:cs="Times New Roman" w:ascii="Times New Roman" w:hAnsi="Times New Roman"/>
          <w:sz w:val="24"/>
          <w:szCs w:val="24"/>
          <w:lang w:val="ru-RU"/>
        </w:rPr>
        <w:t>9</w:t>
      </w:r>
      <w:r>
        <w:rPr>
          <w:rFonts w:cs="Times New Roman" w:ascii="Times New Roman" w:hAnsi="Times New Roman"/>
          <w:sz w:val="24"/>
          <w:szCs w:val="24"/>
          <w:lang w:val="en-US"/>
        </w:rPr>
        <w:t>1</w:t>
      </w:r>
      <w:r>
        <w:rPr>
          <w:rFonts w:cs="Times New Roman" w:ascii="Times New Roman" w:hAnsi="Times New Roman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sz w:val="24"/>
          <w:szCs w:val="24"/>
          <w:lang w:val="fr-FR"/>
        </w:rPr>
        <w:t xml:space="preserve">) </w:t>
      </w:r>
      <w:r>
        <w:rPr>
          <w:rFonts w:cs="Times New Roman" w:ascii="Times New Roman" w:hAnsi="Times New Roman"/>
          <w:sz w:val="24"/>
          <w:szCs w:val="24"/>
          <w:lang w:val="ru-RU"/>
        </w:rPr>
        <w:t>455</w:t>
      </w:r>
      <w:r>
        <w:rPr>
          <w:rFonts w:cs="Times New Roman" w:ascii="Times New Roman" w:hAnsi="Times New Roman"/>
          <w:sz w:val="24"/>
          <w:szCs w:val="24"/>
          <w:lang w:val="fr-FR"/>
        </w:rPr>
        <w:t>-</w:t>
      </w:r>
      <w:r>
        <w:rPr>
          <w:rFonts w:cs="Times New Roman" w:ascii="Times New Roman" w:hAnsi="Times New Roman"/>
          <w:sz w:val="24"/>
          <w:szCs w:val="24"/>
          <w:lang w:val="ru-RU"/>
        </w:rPr>
        <w:t>79</w:t>
      </w:r>
      <w:r>
        <w:rPr>
          <w:rFonts w:cs="Times New Roman" w:ascii="Times New Roman" w:hAnsi="Times New Roman"/>
          <w:sz w:val="24"/>
          <w:szCs w:val="24"/>
          <w:lang w:val="fr-FR"/>
        </w:rPr>
        <w:t>-</w:t>
      </w:r>
      <w:r>
        <w:rPr>
          <w:rFonts w:cs="Times New Roman" w:ascii="Times New Roman" w:hAnsi="Times New Roman"/>
          <w:sz w:val="24"/>
          <w:szCs w:val="24"/>
          <w:lang w:val="ru-RU"/>
        </w:rPr>
        <w:t>67</w:t>
      </w:r>
      <w:r>
        <w:rPr>
          <w:rFonts w:cs="Times New Roman" w:ascii="Times New Roman" w:hAnsi="Times New Roman"/>
          <w:sz w:val="24"/>
          <w:szCs w:val="24"/>
          <w:lang w:val="fr-FR"/>
        </w:rPr>
        <w:t xml:space="preserve">; E-mail: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anapa_elena@inbox.ru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140" w:hanging="7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31f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nhideWhenUsed/>
    <w:rsid w:val="00063d34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063d34"/>
    <w:rPr>
      <w:rFonts w:ascii="Tahoma" w:hAnsi="Tahoma" w:cs="Tahoma"/>
      <w:sz w:val="16"/>
      <w:szCs w:val="16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930b22"/>
    <w:rPr>
      <w:color w:val="605E5C"/>
      <w:shd w:fill="E1DFDD" w:val="clear"/>
    </w:rPr>
  </w:style>
  <w:style w:type="character" w:styleId="ListLabel1">
    <w:name w:val="ListLabel 1"/>
    <w:qFormat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semiHidden/>
    <w:unhideWhenUsed/>
    <w:qFormat/>
    <w:rsid w:val="00063d34"/>
    <w:pPr>
      <w:spacing w:lineRule="auto" w:line="240" w:before="0" w:after="0"/>
      <w:jc w:val="center"/>
    </w:pPr>
    <w:rPr>
      <w:rFonts w:ascii="Times New Roman" w:hAnsi="Times New Roman" w:eastAsia="Calibri" w:cs="Times New Roman"/>
      <w:sz w:val="24"/>
      <w:szCs w:val="24"/>
      <w:u w:val="single"/>
      <w:lang w:eastAsia="zh-CN"/>
    </w:rPr>
  </w:style>
  <w:style w:type="paragraph" w:styleId="11" w:customStyle="1">
    <w:name w:val="Абзац списка1"/>
    <w:basedOn w:val="Normal"/>
    <w:qFormat/>
    <w:rsid w:val="00063d34"/>
    <w:pPr>
      <w:spacing w:before="0" w:after="200"/>
      <w:ind w:left="720" w:hanging="0"/>
      <w:contextualSpacing/>
    </w:pPr>
    <w:rPr>
      <w:rFonts w:ascii="Calibri" w:hAnsi="Calibri" w:eastAsia="Times New Roman" w:cs="Times New Roman"/>
      <w:lang w:eastAsia="en-U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063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66b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8903-58EC-4DAB-96C3-EDAD93A5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Neat_Office/6.2.8.2$Windows_x86 LibreOffice_project/</Application>
  <Pages>5</Pages>
  <Words>1243</Words>
  <Characters>9046</Characters>
  <CharactersWithSpaces>10225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2019-11-06T11:01:00Z</dcterms:created>
  <dc:creator>ASUS</dc:creator>
  <dc:description/>
  <dc:language>ru-RU</dc:language>
  <cp:lastModifiedBy/>
  <cp:lastPrinted>2018-10-18T06:51:00Z</cp:lastPrinted>
  <dcterms:modified xsi:type="dcterms:W3CDTF">2020-10-25T22:49:41Z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